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single" w:sz="4" w:space="0" w:color="0000A0"/>
          <w:right w:val="none" w:sz="0" w:space="0" w:color="auto"/>
          <w:insideH w:val="none" w:sz="0" w:space="0" w:color="auto"/>
          <w:insideV w:val="none" w:sz="0" w:space="0" w:color="auto"/>
        </w:tblBorders>
        <w:tblLook w:val="04A0"/>
      </w:tblPr>
      <w:tblGrid>
        <w:gridCol w:w="10296"/>
      </w:tblGrid>
      <w:tr w:rsidR="009B2BAC" w:rsidRPr="00AB5B16" w:rsidTr="00340EF0">
        <w:tc>
          <w:tcPr>
            <w:tcW w:w="10296" w:type="dxa"/>
          </w:tcPr>
          <w:p w:rsidR="009B2BAC" w:rsidRPr="00AB5B16" w:rsidRDefault="009B2BAC" w:rsidP="00DA7BC1">
            <w:pPr>
              <w:jc w:val="center"/>
              <w:rPr>
                <w:b/>
                <w:color w:val="0000A0"/>
                <w:u w:val="single"/>
              </w:rPr>
            </w:pPr>
            <w:r w:rsidRPr="00AB5B16">
              <w:rPr>
                <w:b/>
                <w:color w:val="0000A0"/>
                <w:sz w:val="40"/>
                <w:u w:val="single"/>
              </w:rPr>
              <w:t xml:space="preserve">Policy Statement </w:t>
            </w:r>
            <w:r w:rsidR="00DA7BC1">
              <w:rPr>
                <w:b/>
                <w:color w:val="0000A0"/>
                <w:sz w:val="40"/>
                <w:u w:val="single"/>
              </w:rPr>
              <w:t>XV</w:t>
            </w:r>
            <w:r w:rsidRPr="00AB5B16">
              <w:rPr>
                <w:b/>
                <w:color w:val="0000A0"/>
                <w:sz w:val="40"/>
                <w:u w:val="single"/>
              </w:rPr>
              <w:t xml:space="preserve"> – </w:t>
            </w:r>
            <w:r w:rsidR="00DA7BC1">
              <w:rPr>
                <w:b/>
                <w:color w:val="0000A0"/>
                <w:sz w:val="40"/>
                <w:u w:val="single"/>
              </w:rPr>
              <w:t>Open Education Resource</w:t>
            </w:r>
            <w:r w:rsidR="00B44939">
              <w:rPr>
                <w:b/>
                <w:color w:val="0000A0"/>
                <w:sz w:val="40"/>
                <w:u w:val="single"/>
              </w:rPr>
              <w:t>s</w:t>
            </w:r>
          </w:p>
        </w:tc>
      </w:tr>
      <w:tr w:rsidR="009B2BAC" w:rsidRPr="00AB5B16" w:rsidTr="00340EF0">
        <w:tc>
          <w:tcPr>
            <w:tcW w:w="10296" w:type="dxa"/>
          </w:tcPr>
          <w:p w:rsidR="009B2BAC" w:rsidRPr="00AB5B16" w:rsidRDefault="009B2BAC" w:rsidP="00340EF0"/>
        </w:tc>
      </w:tr>
      <w:tr w:rsidR="009B2BAC" w:rsidRPr="009B2BAC" w:rsidTr="00B44939">
        <w:trPr>
          <w:trHeight w:val="790"/>
        </w:trPr>
        <w:tc>
          <w:tcPr>
            <w:tcW w:w="10296" w:type="dxa"/>
          </w:tcPr>
          <w:p w:rsidR="00B44939" w:rsidRDefault="00B44939" w:rsidP="00340EF0">
            <w:pPr>
              <w:rPr>
                <w:b/>
                <w:color w:val="0D0D0D" w:themeColor="text1" w:themeTint="F2"/>
              </w:rPr>
            </w:pPr>
          </w:p>
          <w:p w:rsidR="009B2BAC" w:rsidRDefault="009B2BAC" w:rsidP="00340EF0">
            <w:pPr>
              <w:rPr>
                <w:color w:val="0D0D0D" w:themeColor="text1" w:themeTint="F2"/>
              </w:rPr>
            </w:pPr>
            <w:r w:rsidRPr="009B2BAC">
              <w:rPr>
                <w:b/>
                <w:color w:val="0D0D0D" w:themeColor="text1" w:themeTint="F2"/>
              </w:rPr>
              <w:t>Adopted</w:t>
            </w:r>
            <w:r w:rsidRPr="009B2BAC">
              <w:rPr>
                <w:color w:val="0D0D0D" w:themeColor="text1" w:themeTint="F2"/>
              </w:rPr>
              <w:t xml:space="preserve">: </w:t>
            </w:r>
            <w:r w:rsidR="00B44939">
              <w:rPr>
                <w:color w:val="0D0D0D" w:themeColor="text1" w:themeTint="F2"/>
              </w:rPr>
              <w:t>March 28</w:t>
            </w:r>
            <w:r>
              <w:rPr>
                <w:color w:val="0D0D0D" w:themeColor="text1" w:themeTint="F2"/>
              </w:rPr>
              <w:t>, 201</w:t>
            </w:r>
            <w:r w:rsidR="00B44939">
              <w:rPr>
                <w:color w:val="0D0D0D" w:themeColor="text1" w:themeTint="F2"/>
              </w:rPr>
              <w:t>7</w:t>
            </w:r>
          </w:p>
          <w:p w:rsidR="009B2BAC" w:rsidRPr="00B44939" w:rsidRDefault="00DA7BC1" w:rsidP="00515185">
            <w:pPr>
              <w:spacing w:before="100" w:line="276" w:lineRule="auto"/>
              <w:rPr>
                <w:rFonts w:cstheme="minorHAnsi"/>
                <w:color w:val="000000" w:themeColor="text1"/>
                <w:lang w:val="en-US"/>
              </w:rPr>
            </w:pPr>
            <w:r>
              <w:rPr>
                <w:rFonts w:cstheme="minorHAnsi"/>
                <w:color w:val="000000" w:themeColor="text1"/>
                <w:lang w:val="en-US"/>
              </w:rPr>
              <w:t>MOTION [21467GA</w:t>
            </w:r>
            <w:r w:rsidRPr="00A2550D">
              <w:rPr>
                <w:rFonts w:cstheme="minorHAnsi"/>
                <w:color w:val="000000" w:themeColor="text1"/>
                <w:lang w:val="en-US"/>
              </w:rPr>
              <w:t>]</w:t>
            </w:r>
            <w:r>
              <w:rPr>
                <w:rFonts w:cstheme="minorHAnsi"/>
                <w:color w:val="000000" w:themeColor="text1"/>
                <w:lang w:val="en-US"/>
              </w:rPr>
              <w:t xml:space="preserve"> – </w:t>
            </w:r>
            <w:r w:rsidR="00515185">
              <w:rPr>
                <w:rFonts w:cstheme="minorHAnsi"/>
                <w:color w:val="000000" w:themeColor="text1"/>
                <w:lang w:val="en-US"/>
              </w:rPr>
              <w:t>No Expiry</w:t>
            </w:r>
          </w:p>
        </w:tc>
      </w:tr>
      <w:tr w:rsidR="009B2BAC" w:rsidRPr="009B2BAC" w:rsidTr="00340EF0">
        <w:tc>
          <w:tcPr>
            <w:tcW w:w="10296" w:type="dxa"/>
            <w:tcBorders>
              <w:bottom w:val="nil"/>
            </w:tcBorders>
          </w:tcPr>
          <w:p w:rsidR="009B2BAC" w:rsidRPr="009B2BAC" w:rsidRDefault="009B2BAC" w:rsidP="00340EF0">
            <w:pPr>
              <w:rPr>
                <w:color w:val="0D0D0D" w:themeColor="text1" w:themeTint="F2"/>
              </w:rPr>
            </w:pPr>
          </w:p>
        </w:tc>
      </w:tr>
      <w:tr w:rsidR="009B2BAC" w:rsidRPr="009B2BAC" w:rsidTr="00340EF0">
        <w:tc>
          <w:tcPr>
            <w:tcW w:w="10296" w:type="dxa"/>
            <w:tcBorders>
              <w:bottom w:val="single" w:sz="12" w:space="0" w:color="0000A0"/>
            </w:tcBorders>
          </w:tcPr>
          <w:p w:rsidR="009B2BAC" w:rsidRPr="009B2BAC" w:rsidRDefault="00D757E2" w:rsidP="00340EF0">
            <w:pPr>
              <w:rPr>
                <w:b/>
                <w:color w:val="0D0D0D" w:themeColor="text1" w:themeTint="F2"/>
              </w:rPr>
            </w:pPr>
            <w:r>
              <w:rPr>
                <w:b/>
                <w:color w:val="0D0D0D" w:themeColor="text1" w:themeTint="F2"/>
              </w:rPr>
              <w:t xml:space="preserve">Motion from the </w:t>
            </w:r>
            <w:r w:rsidR="00B44939">
              <w:rPr>
                <w:b/>
                <w:color w:val="0D0D0D" w:themeColor="text1" w:themeTint="F2"/>
              </w:rPr>
              <w:t>8</w:t>
            </w:r>
            <w:r>
              <w:rPr>
                <w:b/>
                <w:color w:val="0D0D0D" w:themeColor="text1" w:themeTint="F2"/>
              </w:rPr>
              <w:t>th Meeting of the 2016-17</w:t>
            </w:r>
            <w:r w:rsidR="009B2BAC" w:rsidRPr="009B2BAC">
              <w:rPr>
                <w:b/>
                <w:color w:val="0D0D0D" w:themeColor="text1" w:themeTint="F2"/>
              </w:rPr>
              <w:t xml:space="preserve"> General Assembly</w:t>
            </w:r>
            <w:r>
              <w:rPr>
                <w:b/>
                <w:color w:val="0D0D0D" w:themeColor="text1" w:themeTint="F2"/>
              </w:rPr>
              <w:t xml:space="preserve">, </w:t>
            </w:r>
            <w:r w:rsidR="00B44939">
              <w:rPr>
                <w:b/>
                <w:color w:val="0D0D0D" w:themeColor="text1" w:themeTint="F2"/>
              </w:rPr>
              <w:t>March 28</w:t>
            </w:r>
            <w:r>
              <w:rPr>
                <w:b/>
                <w:color w:val="0D0D0D" w:themeColor="text1" w:themeTint="F2"/>
              </w:rPr>
              <w:t>, 2017</w:t>
            </w:r>
            <w:r w:rsidR="009B2BAC" w:rsidRPr="009B2BAC">
              <w:rPr>
                <w:b/>
                <w:color w:val="0D0D0D" w:themeColor="text1" w:themeTint="F2"/>
              </w:rPr>
              <w:t>:</w:t>
            </w:r>
          </w:p>
          <w:p w:rsidR="00DA7BC1" w:rsidRPr="00396B97" w:rsidRDefault="00DA7BC1" w:rsidP="00DA7BC1">
            <w:pPr>
              <w:pStyle w:val="ListParagraph"/>
              <w:ind w:left="42"/>
              <w:rPr>
                <w:sz w:val="20"/>
                <w:szCs w:val="20"/>
                <w:u w:val="single"/>
              </w:rPr>
            </w:pPr>
            <w:r w:rsidRPr="00396B97">
              <w:rPr>
                <w:sz w:val="20"/>
                <w:szCs w:val="20"/>
                <w:u w:val="single"/>
              </w:rPr>
              <w:t>MSC:</w:t>
            </w:r>
            <w:r>
              <w:rPr>
                <w:sz w:val="20"/>
                <w:szCs w:val="20"/>
                <w:u w:val="single"/>
              </w:rPr>
              <w:t xml:space="preserve"> C. Ciona/H. Babb</w:t>
            </w:r>
          </w:p>
          <w:p w:rsidR="00DA7BC1" w:rsidRDefault="00DA7BC1" w:rsidP="00DA7BC1">
            <w:pPr>
              <w:pStyle w:val="ListParagraph"/>
              <w:ind w:left="42"/>
              <w:rPr>
                <w:rFonts w:cstheme="minorHAnsi"/>
                <w:sz w:val="20"/>
                <w:szCs w:val="20"/>
              </w:rPr>
            </w:pPr>
            <w:r w:rsidRPr="00C97F08">
              <w:rPr>
                <w:rFonts w:cstheme="minorHAnsi"/>
                <w:sz w:val="20"/>
                <w:szCs w:val="20"/>
              </w:rPr>
              <w:t>BIMT the ULSU adopt Policy Statement XV - Open Educational Resources.</w:t>
            </w:r>
          </w:p>
          <w:p w:rsidR="009B2BAC" w:rsidRPr="00D757E2" w:rsidRDefault="00DA7BC1" w:rsidP="00DA7BC1">
            <w:pPr>
              <w:pStyle w:val="ListParagraph"/>
              <w:ind w:left="42"/>
              <w:rPr>
                <w:sz w:val="20"/>
                <w:szCs w:val="20"/>
                <w:u w:val="single"/>
              </w:rPr>
            </w:pPr>
            <w:r>
              <w:rPr>
                <w:rFonts w:cstheme="minorHAnsi"/>
                <w:sz w:val="20"/>
                <w:szCs w:val="20"/>
              </w:rPr>
              <w:t>Carried</w:t>
            </w:r>
          </w:p>
        </w:tc>
      </w:tr>
    </w:tbl>
    <w:p w:rsidR="00AB5B16" w:rsidRDefault="00AB5B16" w:rsidP="00300802"/>
    <w:p w:rsidR="00DA7BC1" w:rsidRDefault="00DA7BC1" w:rsidP="00DA7BC1">
      <w:r>
        <w:t xml:space="preserve"> </w:t>
      </w:r>
    </w:p>
    <w:p w:rsidR="00DA7BC1" w:rsidRDefault="00DA7BC1" w:rsidP="00DA7BC1">
      <w:r>
        <w:t xml:space="preserve">WHEREAS Open Educational Resources (OERs) are teaching, learning, and research materials, including textbooks and other digital items, that reside in the public domain or have been released under an open license; and, </w:t>
      </w:r>
    </w:p>
    <w:p w:rsidR="00DA7BC1" w:rsidRDefault="00DA7BC1" w:rsidP="00DA7BC1">
      <w:r>
        <w:t xml:space="preserve"> </w:t>
      </w:r>
    </w:p>
    <w:p w:rsidR="00DA7BC1" w:rsidRDefault="00DA7BC1" w:rsidP="00DA7BC1">
      <w:r>
        <w:t xml:space="preserve">WHEREAS During the eighteen-year period from 1986 to 2004, North American research libraries increased spending on academic journals by 273% and today’s textbooks are sold to students at an incredible markup. (Policy </w:t>
      </w:r>
      <w:proofErr w:type="gramStart"/>
      <w:r>
        <w:t>I09 ,Canadian</w:t>
      </w:r>
      <w:proofErr w:type="gramEnd"/>
      <w:r>
        <w:t xml:space="preserve"> Alliance of Student Associations, March 2013)</w:t>
      </w:r>
      <w:r w:rsidR="0070210B">
        <w:t>.</w:t>
      </w:r>
      <w:r>
        <w:t xml:space="preserve"> </w:t>
      </w:r>
    </w:p>
    <w:p w:rsidR="00DA7BC1" w:rsidRDefault="00DA7BC1" w:rsidP="00DA7BC1">
      <w:r>
        <w:t xml:space="preserve"> </w:t>
      </w:r>
    </w:p>
    <w:p w:rsidR="00DA7BC1" w:rsidRDefault="00DA7BC1" w:rsidP="00DA7BC1">
      <w:r>
        <w:t xml:space="preserve">WHEREAS high textbook costs contribute to the decreasing affordability and accessibility of post-secondary education and may serve as a barrier to students; and,   WHEREAS The OER movement aims to encourage and enable free sharing of learning content, resulting in a greater number of opportunities for more people to learn from educational resources.  </w:t>
      </w:r>
    </w:p>
    <w:p w:rsidR="00DA7BC1" w:rsidRDefault="00DA7BC1" w:rsidP="00DA7BC1">
      <w:r>
        <w:t xml:space="preserve"> </w:t>
      </w:r>
    </w:p>
    <w:p w:rsidR="00DA7BC1" w:rsidRDefault="00DA7BC1" w:rsidP="00DA7BC1">
      <w:r>
        <w:t xml:space="preserve">WHEREAS </w:t>
      </w:r>
      <w:proofErr w:type="gramStart"/>
      <w:r>
        <w:t>Offering</w:t>
      </w:r>
      <w:proofErr w:type="gramEnd"/>
      <w:r>
        <w:t xml:space="preserve"> information and opportunities for learning is a cornerstone of an effective educational system, and a fundamental step in achieving an informed and capable society; </w:t>
      </w:r>
    </w:p>
    <w:p w:rsidR="00DA7BC1" w:rsidRDefault="00DA7BC1" w:rsidP="00DA7BC1">
      <w:r>
        <w:t xml:space="preserve"> </w:t>
      </w:r>
    </w:p>
    <w:p w:rsidR="00DA7BC1" w:rsidRDefault="00DA7BC1" w:rsidP="00DA7BC1">
      <w:r>
        <w:t xml:space="preserve">WHEREAS With technological advancements, the landscape of learning has shifted and so too have the methods for delivering teaching.  </w:t>
      </w:r>
    </w:p>
    <w:p w:rsidR="00DA7BC1" w:rsidRDefault="00DA7BC1" w:rsidP="00DA7BC1">
      <w:r>
        <w:t xml:space="preserve"> </w:t>
      </w:r>
    </w:p>
    <w:p w:rsidR="00DA7BC1" w:rsidRDefault="00DA7BC1" w:rsidP="00DA7BC1">
      <w:r>
        <w:t xml:space="preserve">WHEREAS the University of Lethbridge does not currently hold a stance on OERs </w:t>
      </w:r>
    </w:p>
    <w:p w:rsidR="00DA7BC1" w:rsidRDefault="00DA7BC1" w:rsidP="00DA7BC1">
      <w:r>
        <w:t xml:space="preserve"> </w:t>
      </w:r>
    </w:p>
    <w:p w:rsidR="00DA7BC1" w:rsidRDefault="00DA7BC1" w:rsidP="00DA7BC1">
      <w:r>
        <w:t xml:space="preserve"> </w:t>
      </w:r>
    </w:p>
    <w:p w:rsidR="00DA7BC1" w:rsidRPr="00B44939" w:rsidRDefault="00DA7BC1" w:rsidP="00DA7BC1">
      <w:pPr>
        <w:rPr>
          <w:b/>
          <w:i/>
        </w:rPr>
      </w:pPr>
      <w:r w:rsidRPr="00B44939">
        <w:rPr>
          <w:b/>
          <w:i/>
        </w:rPr>
        <w:t xml:space="preserve">BE IT RESOLVED THAT the ULSU,  </w:t>
      </w:r>
    </w:p>
    <w:p w:rsidR="00DA7BC1" w:rsidRDefault="00DA7BC1" w:rsidP="00DA7BC1">
      <w:r>
        <w:t xml:space="preserve"> </w:t>
      </w:r>
    </w:p>
    <w:p w:rsidR="00DA7BC1" w:rsidRDefault="00DA7BC1" w:rsidP="00B44939">
      <w:pPr>
        <w:pStyle w:val="ListParagraph"/>
        <w:numPr>
          <w:ilvl w:val="0"/>
          <w:numId w:val="9"/>
        </w:numPr>
      </w:pPr>
      <w:proofErr w:type="gramStart"/>
      <w:r>
        <w:t>advocates</w:t>
      </w:r>
      <w:proofErr w:type="gramEnd"/>
      <w:r>
        <w:t xml:space="preserve"> for implementation of OERs and other zero-cost materials at the University of Lethbridge in order to reduce the cost of education, expand the use of internet and digital technologies in education, and transform teaching and learning by fostering academic innovation through increased curriculum options. </w:t>
      </w:r>
    </w:p>
    <w:p w:rsidR="00DA7BC1" w:rsidRDefault="00DA7BC1" w:rsidP="00B44939">
      <w:pPr>
        <w:ind w:firstLine="30"/>
      </w:pPr>
    </w:p>
    <w:p w:rsidR="00DA7BC1" w:rsidRDefault="00DA7BC1" w:rsidP="00B44939">
      <w:pPr>
        <w:pStyle w:val="ListParagraph"/>
        <w:numPr>
          <w:ilvl w:val="0"/>
          <w:numId w:val="9"/>
        </w:numPr>
      </w:pPr>
      <w:r>
        <w:t xml:space="preserve">encourages staff and students to use, create and publish OERs to enhance the quality of the student experience following the University of </w:t>
      </w:r>
      <w:proofErr w:type="spellStart"/>
      <w:r>
        <w:t>Lethbridge’s</w:t>
      </w:r>
      <w:proofErr w:type="spellEnd"/>
      <w:r>
        <w:t xml:space="preserve"> commitment to liberal education;   </w:t>
      </w:r>
    </w:p>
    <w:p w:rsidR="00DA7BC1" w:rsidRDefault="00DA7BC1" w:rsidP="00B44939">
      <w:pPr>
        <w:ind w:firstLine="30"/>
      </w:pPr>
    </w:p>
    <w:p w:rsidR="00DA7BC1" w:rsidRDefault="00DA7BC1" w:rsidP="00B44939">
      <w:pPr>
        <w:pStyle w:val="ListParagraph"/>
        <w:numPr>
          <w:ilvl w:val="0"/>
          <w:numId w:val="9"/>
        </w:numPr>
      </w:pPr>
      <w:proofErr w:type="gramStart"/>
      <w:r>
        <w:t>advocates</w:t>
      </w:r>
      <w:proofErr w:type="gramEnd"/>
      <w:r>
        <w:t xml:space="preserve"> that the University of Lethbridge collaborate with established groups (</w:t>
      </w:r>
      <w:proofErr w:type="spellStart"/>
      <w:r>
        <w:t>eg</w:t>
      </w:r>
      <w:proofErr w:type="spellEnd"/>
      <w:r>
        <w:t xml:space="preserve">. </w:t>
      </w:r>
      <w:proofErr w:type="spellStart"/>
      <w:r>
        <w:t>CampusAlberta</w:t>
      </w:r>
      <w:proofErr w:type="spellEnd"/>
      <w:r>
        <w:t xml:space="preserve">, </w:t>
      </w:r>
      <w:proofErr w:type="spellStart"/>
      <w:r>
        <w:t>AlbertaOER</w:t>
      </w:r>
      <w:proofErr w:type="spellEnd"/>
      <w:r>
        <w:t xml:space="preserve">, </w:t>
      </w:r>
      <w:proofErr w:type="spellStart"/>
      <w:r>
        <w:t>BCCampus</w:t>
      </w:r>
      <w:proofErr w:type="spellEnd"/>
      <w:r>
        <w:t xml:space="preserve">, etc ) to develop networks for advancing OERs; and </w:t>
      </w:r>
    </w:p>
    <w:p w:rsidR="00DA7BC1" w:rsidRDefault="00DA7BC1" w:rsidP="00B44939">
      <w:pPr>
        <w:ind w:firstLine="30"/>
      </w:pPr>
    </w:p>
    <w:p w:rsidR="00DA7BC1" w:rsidRDefault="00DA7BC1" w:rsidP="00B44939">
      <w:pPr>
        <w:pStyle w:val="ListParagraph"/>
        <w:numPr>
          <w:ilvl w:val="0"/>
          <w:numId w:val="9"/>
        </w:numPr>
      </w:pPr>
      <w:proofErr w:type="gramStart"/>
      <w:r>
        <w:t>advocates</w:t>
      </w:r>
      <w:proofErr w:type="gramEnd"/>
      <w:r>
        <w:t xml:space="preserve"> to the Government of Alberta and to the Government of Canada to promote the advancement of OER development provincially and nationally.  </w:t>
      </w:r>
    </w:p>
    <w:p w:rsidR="008F7F9C" w:rsidRPr="00AB5B16" w:rsidRDefault="008F7F9C" w:rsidP="00D757E2"/>
    <w:sectPr w:rsidR="008F7F9C" w:rsidRPr="00AB5B16" w:rsidSect="001C6DD6">
      <w:headerReference w:type="default" r:id="rId8"/>
      <w:headerReference w:type="first" r:id="rId9"/>
      <w:footerReference w:type="first" r:id="rId10"/>
      <w:pgSz w:w="12240" w:h="15840"/>
      <w:pgMar w:top="1440" w:right="1080" w:bottom="1440" w:left="1080" w:header="708" w:footer="2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B0D" w:rsidRDefault="00C74B0D" w:rsidP="006E4BC5">
      <w:r>
        <w:separator/>
      </w:r>
    </w:p>
  </w:endnote>
  <w:endnote w:type="continuationSeparator" w:id="0">
    <w:p w:rsidR="00C74B0D" w:rsidRDefault="00C74B0D" w:rsidP="006E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BT">
    <w:altName w:val="Lucida Sans Unicode"/>
    <w:panose1 w:val="020B07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544"/>
      <w:gridCol w:w="3242"/>
    </w:tblGrid>
    <w:tr w:rsidR="00437678" w:rsidRPr="0012460E" w:rsidTr="0012460E">
      <w:tc>
        <w:tcPr>
          <w:tcW w:w="3510" w:type="dxa"/>
        </w:tcPr>
        <w:p w:rsidR="00437678" w:rsidRPr="0012460E" w:rsidRDefault="00437678" w:rsidP="00B602CF">
          <w:pPr>
            <w:pStyle w:val="Footer"/>
            <w:suppressAutoHyphens/>
            <w:rPr>
              <w:rFonts w:ascii="Futura Hv BT" w:hAnsi="Futura Hv BT"/>
              <w:bCs/>
              <w:color w:val="0000A0"/>
              <w:sz w:val="16"/>
              <w:szCs w:val="16"/>
            </w:rPr>
          </w:pPr>
          <w:r w:rsidRPr="0012460E">
            <w:rPr>
              <w:rFonts w:ascii="Futura Hv BT" w:hAnsi="Futura Hv BT"/>
              <w:bCs/>
              <w:color w:val="0000A0"/>
              <w:sz w:val="16"/>
              <w:szCs w:val="16"/>
            </w:rPr>
            <w:t>SU180 - 4401 UNIVERSITY DRIVE</w:t>
          </w:r>
        </w:p>
        <w:p w:rsidR="00437678" w:rsidRPr="0012460E" w:rsidRDefault="00437678" w:rsidP="00B602CF">
          <w:pPr>
            <w:pStyle w:val="Footer"/>
            <w:tabs>
              <w:tab w:val="clear" w:pos="4680"/>
              <w:tab w:val="clear" w:pos="9360"/>
              <w:tab w:val="right" w:pos="3294"/>
            </w:tabs>
            <w:suppressAutoHyphens/>
            <w:rPr>
              <w:rFonts w:ascii="Futura Hv BT" w:hAnsi="Futura Hv BT"/>
              <w:bCs/>
              <w:color w:val="0000A0"/>
              <w:sz w:val="16"/>
              <w:szCs w:val="16"/>
            </w:rPr>
          </w:pPr>
          <w:r w:rsidRPr="0012460E">
            <w:rPr>
              <w:rFonts w:ascii="Futura Hv BT" w:hAnsi="Futura Hv BT"/>
              <w:bCs/>
              <w:color w:val="0000A0"/>
              <w:sz w:val="16"/>
              <w:szCs w:val="16"/>
            </w:rPr>
            <w:t>LETHBRIDGE, ALBERTA</w:t>
          </w:r>
          <w:r w:rsidRPr="0012460E">
            <w:rPr>
              <w:rFonts w:ascii="Futura Hv BT" w:hAnsi="Futura Hv BT"/>
              <w:bCs/>
              <w:color w:val="0000A0"/>
              <w:sz w:val="16"/>
              <w:szCs w:val="16"/>
            </w:rPr>
            <w:tab/>
          </w:r>
        </w:p>
        <w:p w:rsidR="00437678" w:rsidRPr="0012460E" w:rsidRDefault="00437678" w:rsidP="00B602CF">
          <w:pPr>
            <w:pStyle w:val="Footer"/>
            <w:suppressAutoHyphens/>
            <w:rPr>
              <w:rFonts w:ascii="Futura Hv BT" w:hAnsi="Futura Hv BT"/>
              <w:bCs/>
              <w:color w:val="0000A0"/>
              <w:sz w:val="16"/>
              <w:szCs w:val="16"/>
            </w:rPr>
          </w:pPr>
          <w:r w:rsidRPr="0012460E">
            <w:rPr>
              <w:rFonts w:ascii="Futura Hv BT" w:hAnsi="Futura Hv BT"/>
              <w:bCs/>
              <w:color w:val="0000A0"/>
              <w:sz w:val="16"/>
              <w:szCs w:val="16"/>
            </w:rPr>
            <w:t>T1K 3M4</w:t>
          </w:r>
        </w:p>
      </w:tc>
      <w:tc>
        <w:tcPr>
          <w:tcW w:w="3544" w:type="dxa"/>
        </w:tcPr>
        <w:p w:rsidR="00437678" w:rsidRPr="0012460E" w:rsidRDefault="00242C48" w:rsidP="00D86F5E">
          <w:pPr>
            <w:pStyle w:val="Footer"/>
            <w:suppressAutoHyphens/>
            <w:jc w:val="center"/>
            <w:rPr>
              <w:rFonts w:ascii="Futura Hv BT" w:hAnsi="Futura Hv BT"/>
              <w:bCs/>
              <w:color w:val="0000A0"/>
              <w:sz w:val="16"/>
              <w:szCs w:val="16"/>
            </w:rPr>
          </w:pPr>
          <w:r w:rsidRPr="0012460E">
            <w:rPr>
              <w:rFonts w:ascii="Futura Hv BT" w:hAnsi="Futura Hv BT"/>
              <w:bCs/>
              <w:color w:val="0000A0"/>
              <w:sz w:val="16"/>
              <w:szCs w:val="16"/>
            </w:rPr>
            <w:t>PHONE: (403) 329-22</w:t>
          </w:r>
          <w:r w:rsidR="00C7295F" w:rsidRPr="0012460E">
            <w:rPr>
              <w:rFonts w:ascii="Futura Hv BT" w:hAnsi="Futura Hv BT"/>
              <w:bCs/>
              <w:color w:val="0000A0"/>
              <w:sz w:val="16"/>
              <w:szCs w:val="16"/>
            </w:rPr>
            <w:t>2</w:t>
          </w:r>
          <w:r w:rsidRPr="0012460E">
            <w:rPr>
              <w:rFonts w:ascii="Futura Hv BT" w:hAnsi="Futura Hv BT"/>
              <w:bCs/>
              <w:color w:val="0000A0"/>
              <w:sz w:val="16"/>
              <w:szCs w:val="16"/>
            </w:rPr>
            <w:t>2</w:t>
          </w:r>
        </w:p>
        <w:p w:rsidR="00242C48" w:rsidRPr="0012460E" w:rsidRDefault="00437678" w:rsidP="00D86F5E">
          <w:pPr>
            <w:pStyle w:val="Footer"/>
            <w:suppressAutoHyphens/>
            <w:jc w:val="center"/>
            <w:rPr>
              <w:rFonts w:ascii="Futura Hv BT" w:hAnsi="Futura Hv BT"/>
              <w:bCs/>
              <w:color w:val="0000A0"/>
              <w:sz w:val="16"/>
              <w:szCs w:val="16"/>
            </w:rPr>
          </w:pPr>
          <w:r w:rsidRPr="0012460E">
            <w:rPr>
              <w:rFonts w:ascii="Futura Hv BT" w:hAnsi="Futura Hv BT"/>
              <w:bCs/>
              <w:color w:val="0000A0"/>
              <w:sz w:val="16"/>
              <w:szCs w:val="16"/>
            </w:rPr>
            <w:t>FAX: (403) 329-2224</w:t>
          </w:r>
          <w:r w:rsidR="00D86F5E" w:rsidRPr="0012460E">
            <w:rPr>
              <w:rFonts w:ascii="Futura Hv BT" w:hAnsi="Futura Hv BT"/>
              <w:bCs/>
              <w:color w:val="0000A0"/>
              <w:sz w:val="16"/>
              <w:szCs w:val="16"/>
            </w:rPr>
            <w:t xml:space="preserve"> </w:t>
          </w:r>
        </w:p>
        <w:p w:rsidR="00437678" w:rsidRPr="0012460E" w:rsidRDefault="00437678" w:rsidP="00C7295F">
          <w:pPr>
            <w:pStyle w:val="Footer"/>
            <w:suppressAutoHyphens/>
            <w:jc w:val="center"/>
            <w:rPr>
              <w:rFonts w:ascii="Futura Hv BT" w:hAnsi="Futura Hv BT"/>
              <w:bCs/>
              <w:color w:val="0000A0"/>
              <w:sz w:val="16"/>
              <w:szCs w:val="16"/>
            </w:rPr>
          </w:pPr>
        </w:p>
      </w:tc>
      <w:tc>
        <w:tcPr>
          <w:tcW w:w="3242" w:type="dxa"/>
        </w:tcPr>
        <w:p w:rsidR="00437678" w:rsidRPr="0012460E" w:rsidRDefault="00D86F5E" w:rsidP="00B602CF">
          <w:pPr>
            <w:pStyle w:val="Footer"/>
            <w:suppressAutoHyphens/>
            <w:jc w:val="right"/>
            <w:rPr>
              <w:rFonts w:ascii="Futura Hv BT" w:hAnsi="Futura Hv BT"/>
              <w:bCs/>
              <w:color w:val="0000A0"/>
              <w:sz w:val="16"/>
              <w:szCs w:val="16"/>
            </w:rPr>
          </w:pPr>
          <w:r w:rsidRPr="0012460E">
            <w:rPr>
              <w:rFonts w:ascii="Futura Hv BT" w:hAnsi="Futura Hv BT"/>
              <w:bCs/>
              <w:color w:val="0000A0"/>
              <w:sz w:val="16"/>
              <w:szCs w:val="16"/>
            </w:rPr>
            <w:t>www.ulsu.ca</w:t>
          </w:r>
        </w:p>
        <w:p w:rsidR="00D86F5E" w:rsidRPr="0012460E" w:rsidRDefault="00D86F5E" w:rsidP="00B602CF">
          <w:pPr>
            <w:pStyle w:val="Footer"/>
            <w:suppressAutoHyphens/>
            <w:jc w:val="right"/>
            <w:rPr>
              <w:rFonts w:ascii="Futura Hv BT" w:hAnsi="Futura Hv BT"/>
              <w:bCs/>
              <w:color w:val="0000A0"/>
              <w:sz w:val="16"/>
              <w:szCs w:val="16"/>
            </w:rPr>
          </w:pPr>
        </w:p>
        <w:p w:rsidR="00437678" w:rsidRPr="0012460E" w:rsidRDefault="0012460E" w:rsidP="0012460E">
          <w:pPr>
            <w:jc w:val="right"/>
            <w:rPr>
              <w:rFonts w:ascii="Futura Hv BT" w:hAnsi="Futura Hv BT"/>
              <w:color w:val="0000A0"/>
              <w:sz w:val="16"/>
              <w:szCs w:val="16"/>
            </w:rPr>
          </w:pPr>
          <w:r w:rsidRPr="0012460E">
            <w:rPr>
              <w:rFonts w:ascii="Futura Hv BT" w:hAnsi="Futura Hv BT"/>
              <w:bCs/>
              <w:color w:val="0000A0"/>
              <w:sz w:val="16"/>
              <w:szCs w:val="16"/>
            </w:rPr>
            <w:t>... /</w:t>
          </w:r>
          <w:sdt>
            <w:sdtPr>
              <w:rPr>
                <w:rFonts w:ascii="Futura Hv BT" w:hAnsi="Futura Hv BT"/>
                <w:color w:val="0000A0"/>
                <w:sz w:val="16"/>
                <w:szCs w:val="16"/>
              </w:rPr>
              <w:id w:val="250395305"/>
              <w:docPartObj>
                <w:docPartGallery w:val="Page Numbers (Top of Page)"/>
                <w:docPartUnique/>
              </w:docPartObj>
            </w:sdtPr>
            <w:sdtContent>
              <w:r w:rsidRPr="0012460E">
                <w:rPr>
                  <w:rFonts w:ascii="Futura Hv BT" w:hAnsi="Futura Hv BT"/>
                  <w:color w:val="0000A0"/>
                  <w:sz w:val="16"/>
                  <w:szCs w:val="16"/>
                </w:rPr>
                <w:t xml:space="preserve"> </w:t>
              </w:r>
              <w:r w:rsidR="00415663" w:rsidRPr="0012460E">
                <w:rPr>
                  <w:rFonts w:ascii="Futura Hv BT" w:hAnsi="Futura Hv BT"/>
                  <w:color w:val="0000A0"/>
                  <w:sz w:val="16"/>
                  <w:szCs w:val="16"/>
                </w:rPr>
                <w:fldChar w:fldCharType="begin"/>
              </w:r>
              <w:r w:rsidRPr="0012460E">
                <w:rPr>
                  <w:rFonts w:ascii="Futura Hv BT" w:hAnsi="Futura Hv BT"/>
                  <w:color w:val="0000A0"/>
                  <w:sz w:val="16"/>
                  <w:szCs w:val="16"/>
                </w:rPr>
                <w:instrText xml:space="preserve"> NUMPAGES  </w:instrText>
              </w:r>
              <w:r w:rsidR="00415663" w:rsidRPr="0012460E">
                <w:rPr>
                  <w:rFonts w:ascii="Futura Hv BT" w:hAnsi="Futura Hv BT"/>
                  <w:color w:val="0000A0"/>
                  <w:sz w:val="16"/>
                  <w:szCs w:val="16"/>
                </w:rPr>
                <w:fldChar w:fldCharType="separate"/>
              </w:r>
              <w:r w:rsidR="00515185">
                <w:rPr>
                  <w:rFonts w:ascii="Futura Hv BT" w:hAnsi="Futura Hv BT"/>
                  <w:noProof/>
                  <w:color w:val="0000A0"/>
                  <w:sz w:val="16"/>
                  <w:szCs w:val="16"/>
                </w:rPr>
                <w:t>2</w:t>
              </w:r>
              <w:r w:rsidR="00415663" w:rsidRPr="0012460E">
                <w:rPr>
                  <w:rFonts w:ascii="Futura Hv BT" w:hAnsi="Futura Hv BT"/>
                  <w:color w:val="0000A0"/>
                  <w:sz w:val="16"/>
                  <w:szCs w:val="16"/>
                </w:rPr>
                <w:fldChar w:fldCharType="end"/>
              </w:r>
            </w:sdtContent>
          </w:sdt>
        </w:p>
      </w:tc>
    </w:tr>
  </w:tbl>
  <w:p w:rsidR="00437678" w:rsidRPr="0012460E" w:rsidRDefault="00437678" w:rsidP="00D86F5E">
    <w:pPr>
      <w:pStyle w:val="Footer"/>
      <w:rPr>
        <w:rFonts w:ascii="Futura Hv BT" w:hAnsi="Futura Hv BT"/>
        <w:color w:val="0000A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B0D" w:rsidRDefault="00C74B0D" w:rsidP="006E4BC5">
      <w:r>
        <w:separator/>
      </w:r>
    </w:p>
  </w:footnote>
  <w:footnote w:type="continuationSeparator" w:id="0">
    <w:p w:rsidR="00C74B0D" w:rsidRDefault="00C74B0D" w:rsidP="006E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02" w:rsidRPr="00300802" w:rsidRDefault="00300802" w:rsidP="00300802">
    <w:pPr>
      <w:pStyle w:val="Header"/>
      <w:jc w:val="center"/>
      <w:rPr>
        <w:rFonts w:ascii="Futura Hv BT" w:hAnsi="Futura Hv BT"/>
        <w:color w:val="0000A0"/>
        <w:sz w:val="16"/>
        <w:szCs w:val="16"/>
      </w:rPr>
    </w:pPr>
    <w:r w:rsidRPr="00300802">
      <w:rPr>
        <w:rFonts w:ascii="Futura Hv BT" w:hAnsi="Futura Hv BT"/>
        <w:color w:val="0000A0"/>
        <w:sz w:val="16"/>
        <w:szCs w:val="16"/>
      </w:rPr>
      <w:t>-</w:t>
    </w:r>
    <w:sdt>
      <w:sdtPr>
        <w:rPr>
          <w:rFonts w:ascii="Futura Hv BT" w:hAnsi="Futura Hv BT"/>
          <w:color w:val="0000A0"/>
          <w:sz w:val="16"/>
          <w:szCs w:val="16"/>
        </w:rPr>
        <w:id w:val="173801638"/>
        <w:docPartObj>
          <w:docPartGallery w:val="Page Numbers (Top of Page)"/>
          <w:docPartUnique/>
        </w:docPartObj>
      </w:sdtPr>
      <w:sdtContent>
        <w:r w:rsidRPr="00300802">
          <w:rPr>
            <w:rFonts w:ascii="Futura Hv BT" w:hAnsi="Futura Hv BT"/>
            <w:color w:val="0000A0"/>
            <w:sz w:val="16"/>
            <w:szCs w:val="16"/>
          </w:rPr>
          <w:t xml:space="preserve"> </w:t>
        </w:r>
        <w:r w:rsidR="00415663" w:rsidRPr="00300802">
          <w:rPr>
            <w:rFonts w:ascii="Futura Hv BT" w:hAnsi="Futura Hv BT"/>
            <w:color w:val="0000A0"/>
            <w:sz w:val="16"/>
            <w:szCs w:val="16"/>
          </w:rPr>
          <w:fldChar w:fldCharType="begin"/>
        </w:r>
        <w:r w:rsidRPr="00300802">
          <w:rPr>
            <w:rFonts w:ascii="Futura Hv BT" w:hAnsi="Futura Hv BT"/>
            <w:color w:val="0000A0"/>
            <w:sz w:val="16"/>
            <w:szCs w:val="16"/>
          </w:rPr>
          <w:instrText xml:space="preserve"> PAGE   \* MERGEFORMAT </w:instrText>
        </w:r>
        <w:r w:rsidR="00415663" w:rsidRPr="00300802">
          <w:rPr>
            <w:rFonts w:ascii="Futura Hv BT" w:hAnsi="Futura Hv BT"/>
            <w:color w:val="0000A0"/>
            <w:sz w:val="16"/>
            <w:szCs w:val="16"/>
          </w:rPr>
          <w:fldChar w:fldCharType="separate"/>
        </w:r>
        <w:r w:rsidR="00515185">
          <w:rPr>
            <w:rFonts w:ascii="Futura Hv BT" w:hAnsi="Futura Hv BT"/>
            <w:noProof/>
            <w:color w:val="0000A0"/>
            <w:sz w:val="16"/>
            <w:szCs w:val="16"/>
          </w:rPr>
          <w:t>2</w:t>
        </w:r>
        <w:r w:rsidR="00415663" w:rsidRPr="00300802">
          <w:rPr>
            <w:rFonts w:ascii="Futura Hv BT" w:hAnsi="Futura Hv BT"/>
            <w:color w:val="0000A0"/>
            <w:sz w:val="16"/>
            <w:szCs w:val="16"/>
          </w:rPr>
          <w:fldChar w:fldCharType="end"/>
        </w:r>
        <w:r w:rsidRPr="00300802">
          <w:rPr>
            <w:rFonts w:ascii="Futura Hv BT" w:hAnsi="Futura Hv BT"/>
            <w:color w:val="0000A0"/>
            <w:sz w:val="16"/>
            <w:szCs w:val="16"/>
          </w:rPr>
          <w:t xml:space="preserve"> -</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48" w:type="dxa"/>
      <w:tblInd w:w="-34" w:type="dxa"/>
      <w:tblBorders>
        <w:top w:val="none" w:sz="0" w:space="0" w:color="auto"/>
        <w:left w:val="none" w:sz="0" w:space="0" w:color="auto"/>
        <w:bottom w:val="single" w:sz="12" w:space="0" w:color="0000A0"/>
        <w:right w:val="none" w:sz="0" w:space="0" w:color="auto"/>
        <w:insideH w:val="none" w:sz="0" w:space="0" w:color="auto"/>
        <w:insideV w:val="none" w:sz="0" w:space="0" w:color="auto"/>
      </w:tblBorders>
      <w:tblLook w:val="04A0"/>
    </w:tblPr>
    <w:tblGrid>
      <w:gridCol w:w="3375"/>
      <w:gridCol w:w="6973"/>
    </w:tblGrid>
    <w:tr w:rsidR="001C6DD6" w:rsidRPr="00300802" w:rsidTr="00B602CF">
      <w:tc>
        <w:tcPr>
          <w:tcW w:w="3375" w:type="dxa"/>
        </w:tcPr>
        <w:p w:rsidR="001C6DD6" w:rsidRPr="00300802" w:rsidRDefault="001C6DD6" w:rsidP="00B602CF">
          <w:pPr>
            <w:pStyle w:val="Header"/>
            <w:tabs>
              <w:tab w:val="clear" w:pos="9360"/>
              <w:tab w:val="right" w:pos="9390"/>
            </w:tabs>
            <w:ind w:left="34"/>
            <w:rPr>
              <w:color w:val="0000A0"/>
            </w:rPr>
          </w:pPr>
          <w:r w:rsidRPr="00300802">
            <w:rPr>
              <w:noProof/>
              <w:color w:val="0000A0"/>
              <w:lang w:eastAsia="en-CA"/>
            </w:rPr>
            <w:drawing>
              <wp:anchor distT="0" distB="0" distL="114300" distR="114300" simplePos="0" relativeHeight="251658240" behindDoc="0" locked="0" layoutInCell="1" allowOverlap="1">
                <wp:simplePos x="0" y="0"/>
                <wp:positionH relativeFrom="column">
                  <wp:posOffset>37228</wp:posOffset>
                </wp:positionH>
                <wp:positionV relativeFrom="paragraph">
                  <wp:posOffset>-87914</wp:posOffset>
                </wp:positionV>
                <wp:extent cx="1685489" cy="825689"/>
                <wp:effectExtent l="19050" t="0" r="0" b="0"/>
                <wp:wrapNone/>
                <wp:docPr id="2" name="Picture 1" descr="BLUE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JPEG"/>
                        <pic:cNvPicPr>
                          <a:picLocks noChangeAspect="1" noChangeArrowheads="1"/>
                        </pic:cNvPicPr>
                      </pic:nvPicPr>
                      <pic:blipFill>
                        <a:blip r:embed="rId1"/>
                        <a:srcRect/>
                        <a:stretch>
                          <a:fillRect/>
                        </a:stretch>
                      </pic:blipFill>
                      <pic:spPr bwMode="auto">
                        <a:xfrm>
                          <a:off x="0" y="0"/>
                          <a:ext cx="1685489" cy="825689"/>
                        </a:xfrm>
                        <a:prstGeom prst="rect">
                          <a:avLst/>
                        </a:prstGeom>
                        <a:noFill/>
                        <a:ln w="9525">
                          <a:noFill/>
                          <a:miter lim="800000"/>
                          <a:headEnd/>
                          <a:tailEnd/>
                        </a:ln>
                      </pic:spPr>
                    </pic:pic>
                  </a:graphicData>
                </a:graphic>
              </wp:anchor>
            </w:drawing>
          </w:r>
        </w:p>
      </w:tc>
      <w:tc>
        <w:tcPr>
          <w:tcW w:w="6973" w:type="dxa"/>
          <w:vAlign w:val="bottom"/>
        </w:tcPr>
        <w:p w:rsidR="00D757E2" w:rsidRDefault="00D757E2" w:rsidP="00242C48">
          <w:pPr>
            <w:pStyle w:val="Header"/>
            <w:ind w:right="33"/>
            <w:jc w:val="right"/>
            <w:rPr>
              <w:rFonts w:ascii="Futura Hv BT" w:hAnsi="Futura Hv BT"/>
              <w:b/>
              <w:bCs/>
              <w:color w:val="0000A0"/>
              <w:sz w:val="40"/>
            </w:rPr>
          </w:pPr>
        </w:p>
        <w:p w:rsidR="00C7295F" w:rsidRDefault="00C7295F" w:rsidP="00242C48">
          <w:pPr>
            <w:pStyle w:val="Header"/>
            <w:ind w:right="33"/>
            <w:jc w:val="right"/>
            <w:rPr>
              <w:rFonts w:ascii="Futura Hv BT" w:hAnsi="Futura Hv BT"/>
              <w:b/>
              <w:bCs/>
              <w:color w:val="0000A0"/>
              <w:sz w:val="32"/>
            </w:rPr>
          </w:pPr>
          <w:r w:rsidRPr="00AB5B16">
            <w:rPr>
              <w:rFonts w:ascii="Futura Hv BT" w:hAnsi="Futura Hv BT"/>
              <w:b/>
              <w:bCs/>
              <w:color w:val="0000A0"/>
              <w:sz w:val="40"/>
            </w:rPr>
            <w:t>U</w:t>
          </w:r>
          <w:r w:rsidRPr="00AB5B16">
            <w:rPr>
              <w:rFonts w:ascii="Futura Hv BT" w:hAnsi="Futura Hv BT"/>
              <w:b/>
              <w:bCs/>
              <w:color w:val="0000A0"/>
              <w:sz w:val="32"/>
            </w:rPr>
            <w:t>NIVERSITY O</w:t>
          </w:r>
          <w:r>
            <w:rPr>
              <w:rFonts w:ascii="Futura Hv BT" w:hAnsi="Futura Hv BT"/>
              <w:b/>
              <w:bCs/>
              <w:color w:val="0000A0"/>
              <w:sz w:val="32"/>
            </w:rPr>
            <w:t xml:space="preserve">F </w:t>
          </w:r>
          <w:r w:rsidRPr="00C7295F">
            <w:rPr>
              <w:rFonts w:ascii="Futura Hv BT" w:hAnsi="Futura Hv BT"/>
              <w:b/>
              <w:bCs/>
              <w:color w:val="0000A0"/>
              <w:sz w:val="40"/>
            </w:rPr>
            <w:t>L</w:t>
          </w:r>
          <w:r>
            <w:rPr>
              <w:rFonts w:ascii="Futura Hv BT" w:hAnsi="Futura Hv BT"/>
              <w:b/>
              <w:bCs/>
              <w:color w:val="0000A0"/>
              <w:sz w:val="32"/>
            </w:rPr>
            <w:t xml:space="preserve">ETHBRIDGE </w:t>
          </w:r>
        </w:p>
        <w:p w:rsidR="001C6DD6" w:rsidRPr="00300802" w:rsidRDefault="00C7295F" w:rsidP="00242C48">
          <w:pPr>
            <w:pStyle w:val="Header"/>
            <w:ind w:right="33"/>
            <w:jc w:val="right"/>
            <w:rPr>
              <w:rFonts w:ascii="Futura Hv BT" w:hAnsi="Futura Hv BT"/>
              <w:color w:val="0000A0"/>
              <w:sz w:val="28"/>
            </w:rPr>
          </w:pPr>
          <w:r w:rsidRPr="00C7295F">
            <w:rPr>
              <w:rFonts w:ascii="Futura Hv BT" w:hAnsi="Futura Hv BT"/>
              <w:b/>
              <w:bCs/>
              <w:color w:val="0000A0"/>
              <w:sz w:val="40"/>
            </w:rPr>
            <w:t>S</w:t>
          </w:r>
          <w:r>
            <w:rPr>
              <w:rFonts w:ascii="Futura Hv BT" w:hAnsi="Futura Hv BT"/>
              <w:b/>
              <w:bCs/>
              <w:color w:val="0000A0"/>
              <w:sz w:val="32"/>
            </w:rPr>
            <w:t xml:space="preserve">TUDENTS </w:t>
          </w:r>
          <w:r w:rsidRPr="00C7295F">
            <w:rPr>
              <w:rFonts w:ascii="Futura Hv BT" w:hAnsi="Futura Hv BT"/>
              <w:b/>
              <w:bCs/>
              <w:color w:val="0000A0"/>
              <w:sz w:val="40"/>
            </w:rPr>
            <w:t>U</w:t>
          </w:r>
          <w:r>
            <w:rPr>
              <w:rFonts w:ascii="Futura Hv BT" w:hAnsi="Futura Hv BT"/>
              <w:b/>
              <w:bCs/>
              <w:color w:val="0000A0"/>
              <w:sz w:val="32"/>
            </w:rPr>
            <w:t>NION</w:t>
          </w:r>
        </w:p>
      </w:tc>
    </w:tr>
  </w:tbl>
  <w:p w:rsidR="001C6DD6" w:rsidRPr="00300802" w:rsidRDefault="001C6DD6" w:rsidP="001C6DD6">
    <w:pPr>
      <w:pStyle w:val="Header"/>
      <w:rPr>
        <w:color w:val="0000A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D41"/>
    <w:multiLevelType w:val="hybridMultilevel"/>
    <w:tmpl w:val="F9CEEE56"/>
    <w:lvl w:ilvl="0" w:tplc="0ECE5B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02276A"/>
    <w:multiLevelType w:val="hybridMultilevel"/>
    <w:tmpl w:val="B7FCD574"/>
    <w:lvl w:ilvl="0" w:tplc="8F5E8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F501E3"/>
    <w:multiLevelType w:val="hybridMultilevel"/>
    <w:tmpl w:val="045EF3C2"/>
    <w:lvl w:ilvl="0" w:tplc="1009000F">
      <w:start w:val="1"/>
      <w:numFmt w:val="decimal"/>
      <w:lvlText w:val="%1."/>
      <w:lvlJc w:val="left"/>
      <w:pPr>
        <w:ind w:left="720" w:hanging="360"/>
      </w:pPr>
    </w:lvl>
    <w:lvl w:ilvl="1" w:tplc="0ECE5BE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B2649C"/>
    <w:multiLevelType w:val="hybridMultilevel"/>
    <w:tmpl w:val="00D68F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022CD1"/>
    <w:multiLevelType w:val="hybridMultilevel"/>
    <w:tmpl w:val="220ECD56"/>
    <w:lvl w:ilvl="0" w:tplc="0ECE5BE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9B5798"/>
    <w:multiLevelType w:val="hybridMultilevel"/>
    <w:tmpl w:val="3F0C11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892514B"/>
    <w:multiLevelType w:val="hybridMultilevel"/>
    <w:tmpl w:val="020CF2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9D635EC"/>
    <w:multiLevelType w:val="hybridMultilevel"/>
    <w:tmpl w:val="F44478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F2B5984"/>
    <w:multiLevelType w:val="hybridMultilevel"/>
    <w:tmpl w:val="E4C866C2"/>
    <w:lvl w:ilvl="0" w:tplc="6B82CE2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3"/>
  </w:num>
  <w:num w:numId="6">
    <w:abstractNumId w:val="6"/>
  </w:num>
  <w:num w:numId="7">
    <w:abstractNumId w:val="0"/>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6E4BC5"/>
    <w:rsid w:val="00002EE6"/>
    <w:rsid w:val="00003CEE"/>
    <w:rsid w:val="000521DB"/>
    <w:rsid w:val="000D052D"/>
    <w:rsid w:val="000D0CAA"/>
    <w:rsid w:val="0012460E"/>
    <w:rsid w:val="001652EC"/>
    <w:rsid w:val="001C6DD6"/>
    <w:rsid w:val="001F1669"/>
    <w:rsid w:val="00242C48"/>
    <w:rsid w:val="002606B4"/>
    <w:rsid w:val="00276C23"/>
    <w:rsid w:val="002B5EE8"/>
    <w:rsid w:val="002F0F8D"/>
    <w:rsid w:val="00300802"/>
    <w:rsid w:val="00304501"/>
    <w:rsid w:val="003568D3"/>
    <w:rsid w:val="003817A4"/>
    <w:rsid w:val="003B44A7"/>
    <w:rsid w:val="003B7B1A"/>
    <w:rsid w:val="003D1DFB"/>
    <w:rsid w:val="00415663"/>
    <w:rsid w:val="00416779"/>
    <w:rsid w:val="00437678"/>
    <w:rsid w:val="00470AC2"/>
    <w:rsid w:val="0048532B"/>
    <w:rsid w:val="004A7DB8"/>
    <w:rsid w:val="004F6516"/>
    <w:rsid w:val="005129AE"/>
    <w:rsid w:val="00515185"/>
    <w:rsid w:val="00523DB7"/>
    <w:rsid w:val="005A2117"/>
    <w:rsid w:val="005C636A"/>
    <w:rsid w:val="005D6B96"/>
    <w:rsid w:val="00615A5A"/>
    <w:rsid w:val="006234BE"/>
    <w:rsid w:val="00644434"/>
    <w:rsid w:val="006676D0"/>
    <w:rsid w:val="006A6BBC"/>
    <w:rsid w:val="006E4BC5"/>
    <w:rsid w:val="0070210B"/>
    <w:rsid w:val="00707801"/>
    <w:rsid w:val="00740E67"/>
    <w:rsid w:val="00794D7E"/>
    <w:rsid w:val="00795668"/>
    <w:rsid w:val="007B78AB"/>
    <w:rsid w:val="007C1A67"/>
    <w:rsid w:val="007D0FC1"/>
    <w:rsid w:val="008513A5"/>
    <w:rsid w:val="008623A9"/>
    <w:rsid w:val="00892D0E"/>
    <w:rsid w:val="008F7F9C"/>
    <w:rsid w:val="00926949"/>
    <w:rsid w:val="0093308D"/>
    <w:rsid w:val="0098035D"/>
    <w:rsid w:val="009B2BAC"/>
    <w:rsid w:val="009C1D62"/>
    <w:rsid w:val="009D1EF7"/>
    <w:rsid w:val="009D4516"/>
    <w:rsid w:val="009D6670"/>
    <w:rsid w:val="00A04D62"/>
    <w:rsid w:val="00A1454A"/>
    <w:rsid w:val="00A34824"/>
    <w:rsid w:val="00A85312"/>
    <w:rsid w:val="00AB5B16"/>
    <w:rsid w:val="00AC4269"/>
    <w:rsid w:val="00B12667"/>
    <w:rsid w:val="00B14FEF"/>
    <w:rsid w:val="00B30B0F"/>
    <w:rsid w:val="00B40386"/>
    <w:rsid w:val="00B44939"/>
    <w:rsid w:val="00B44FAF"/>
    <w:rsid w:val="00B8049B"/>
    <w:rsid w:val="00C11EAE"/>
    <w:rsid w:val="00C30121"/>
    <w:rsid w:val="00C56B92"/>
    <w:rsid w:val="00C5793A"/>
    <w:rsid w:val="00C7295F"/>
    <w:rsid w:val="00C74B0D"/>
    <w:rsid w:val="00D71ADB"/>
    <w:rsid w:val="00D757E2"/>
    <w:rsid w:val="00D86F5E"/>
    <w:rsid w:val="00DA7BC1"/>
    <w:rsid w:val="00DC585F"/>
    <w:rsid w:val="00DD15E0"/>
    <w:rsid w:val="00DE55E7"/>
    <w:rsid w:val="00DF1D7B"/>
    <w:rsid w:val="00E23249"/>
    <w:rsid w:val="00E705D5"/>
    <w:rsid w:val="00E91A70"/>
    <w:rsid w:val="00EC632D"/>
    <w:rsid w:val="00ED0960"/>
    <w:rsid w:val="00EF4CB7"/>
    <w:rsid w:val="00F20F72"/>
    <w:rsid w:val="00F47918"/>
    <w:rsid w:val="00F8302A"/>
    <w:rsid w:val="00F9066D"/>
    <w:rsid w:val="00FD0225"/>
    <w:rsid w:val="00FE77FB"/>
    <w:rsid w:val="00FF4A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357"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D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949"/>
  </w:style>
  <w:style w:type="paragraph" w:styleId="Header">
    <w:name w:val="header"/>
    <w:basedOn w:val="Normal"/>
    <w:link w:val="HeaderChar"/>
    <w:uiPriority w:val="99"/>
    <w:unhideWhenUsed/>
    <w:rsid w:val="00926949"/>
    <w:pPr>
      <w:tabs>
        <w:tab w:val="center" w:pos="4680"/>
        <w:tab w:val="right" w:pos="9360"/>
      </w:tabs>
    </w:pPr>
  </w:style>
  <w:style w:type="character" w:customStyle="1" w:styleId="HeaderChar">
    <w:name w:val="Header Char"/>
    <w:basedOn w:val="DefaultParagraphFont"/>
    <w:link w:val="Header"/>
    <w:uiPriority w:val="99"/>
    <w:rsid w:val="00926949"/>
  </w:style>
  <w:style w:type="paragraph" w:styleId="Footer">
    <w:name w:val="footer"/>
    <w:basedOn w:val="Normal"/>
    <w:link w:val="FooterChar"/>
    <w:uiPriority w:val="99"/>
    <w:unhideWhenUsed/>
    <w:rsid w:val="00926949"/>
    <w:pPr>
      <w:tabs>
        <w:tab w:val="center" w:pos="4680"/>
        <w:tab w:val="right" w:pos="9360"/>
      </w:tabs>
    </w:pPr>
  </w:style>
  <w:style w:type="character" w:customStyle="1" w:styleId="FooterChar">
    <w:name w:val="Footer Char"/>
    <w:basedOn w:val="DefaultParagraphFont"/>
    <w:link w:val="Footer"/>
    <w:uiPriority w:val="99"/>
    <w:rsid w:val="00926949"/>
  </w:style>
  <w:style w:type="table" w:styleId="TableGrid">
    <w:name w:val="Table Grid"/>
    <w:basedOn w:val="TableNormal"/>
    <w:uiPriority w:val="59"/>
    <w:rsid w:val="006E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4BC5"/>
    <w:rPr>
      <w:rFonts w:ascii="Tahoma" w:hAnsi="Tahoma" w:cs="Tahoma"/>
      <w:sz w:val="16"/>
      <w:szCs w:val="16"/>
    </w:rPr>
  </w:style>
  <w:style w:type="character" w:customStyle="1" w:styleId="BalloonTextChar">
    <w:name w:val="Balloon Text Char"/>
    <w:basedOn w:val="DefaultParagraphFont"/>
    <w:link w:val="BalloonText"/>
    <w:uiPriority w:val="99"/>
    <w:semiHidden/>
    <w:rsid w:val="006E4BC5"/>
    <w:rPr>
      <w:rFonts w:ascii="Tahoma" w:hAnsi="Tahoma" w:cs="Tahoma"/>
      <w:sz w:val="16"/>
      <w:szCs w:val="16"/>
    </w:rPr>
  </w:style>
  <w:style w:type="character" w:styleId="Hyperlink">
    <w:name w:val="Hyperlink"/>
    <w:basedOn w:val="DefaultParagraphFont"/>
    <w:uiPriority w:val="99"/>
    <w:unhideWhenUsed/>
    <w:rsid w:val="00615A5A"/>
    <w:rPr>
      <w:color w:val="0000FF" w:themeColor="hyperlink"/>
      <w:u w:val="single"/>
    </w:rPr>
  </w:style>
  <w:style w:type="paragraph" w:styleId="ListParagraph">
    <w:name w:val="List Paragraph"/>
    <w:basedOn w:val="Normal"/>
    <w:uiPriority w:val="34"/>
    <w:qFormat/>
    <w:rsid w:val="00003CEE"/>
    <w:pPr>
      <w:ind w:left="720"/>
      <w:contextualSpacing/>
    </w:pPr>
  </w:style>
  <w:style w:type="paragraph" w:customStyle="1" w:styleId="Level9">
    <w:name w:val="Level 9"/>
    <w:uiPriority w:val="99"/>
    <w:rsid w:val="00DA7BC1"/>
    <w:pPr>
      <w:widowControl w:val="0"/>
      <w:autoSpaceDE w:val="0"/>
      <w:autoSpaceDN w:val="0"/>
      <w:adjustRightInd w:val="0"/>
      <w:ind w:left="6480" w:firstLine="0"/>
      <w:jc w:val="both"/>
    </w:pPr>
    <w:rPr>
      <w:rFonts w:ascii="Times New Roman" w:eastAsiaTheme="minorEastAsia"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9A73F-C712-4486-BBEA-BDB1BB0A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dc:creator>
  <cp:lastModifiedBy>user</cp:lastModifiedBy>
  <cp:revision>4</cp:revision>
  <cp:lastPrinted>2013-03-07T16:34:00Z</cp:lastPrinted>
  <dcterms:created xsi:type="dcterms:W3CDTF">2017-09-05T20:37:00Z</dcterms:created>
  <dcterms:modified xsi:type="dcterms:W3CDTF">2017-09-05T21:22:00Z</dcterms:modified>
</cp:coreProperties>
</file>